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CAE4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3EE27CCE" wp14:editId="11DAB02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5056FBC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C9C6725" w14:textId="7DA758C6" w:rsidR="005908E6" w:rsidRDefault="006B3CAE" w:rsidP="00997D32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7463D4">
        <w:rPr>
          <w:rFonts w:ascii="IranNastaliq" w:hAnsi="IranNastaliq" w:cs="IranNastaliq" w:hint="cs"/>
          <w:rtl/>
          <w:lang w:bidi="fa-IR"/>
        </w:rPr>
        <w:t>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7463D4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997D32">
        <w:rPr>
          <w:rFonts w:ascii="IranNastaliq" w:hAnsi="IranNastaliq" w:cs="B Lotus"/>
          <w:sz w:val="28"/>
          <w:szCs w:val="28"/>
          <w:lang w:bidi="fa-IR"/>
        </w:rPr>
        <w:t xml:space="preserve"> 1404-5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017F40C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72DED35" w14:textId="77777777" w:rsidR="005908E6" w:rsidRDefault="005908E6" w:rsidP="000C5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C5D71"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  <w:lang w:bidi="fa-IR"/>
              </w:rPr>
              <w:t>□</w:t>
            </w:r>
            <w:r w:rsidR="001A24D7" w:rsidRPr="000C5D71">
              <w:rPr>
                <w:rFonts w:ascii="IranNastaliq" w:hAnsi="IranNastaliq" w:cs="B Mitra" w:hint="cs"/>
                <w:color w:val="FF0000"/>
                <w:sz w:val="28"/>
                <w:szCs w:val="28"/>
                <w:rtl/>
                <w:lang w:bidi="fa-IR"/>
              </w:rPr>
              <w:t xml:space="preserve"> 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 </w:t>
            </w:r>
            <w:r w:rsidR="000C5D71" w:rsidRPr="000C5D7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7F1B9FB" w14:textId="0433A499" w:rsidR="005908E6" w:rsidRDefault="005908E6" w:rsidP="00037C3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C5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نظری:</w:t>
            </w:r>
            <w:r w:rsidR="00037C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97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972" w:type="dxa"/>
            <w:gridSpan w:val="2"/>
          </w:tcPr>
          <w:p w14:paraId="6F78C712" w14:textId="2B2A17B5" w:rsidR="005908E6" w:rsidRPr="00080B14" w:rsidRDefault="005908E6" w:rsidP="00D873C8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80B1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0C5D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97D3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گفت و شنود 2</w:t>
            </w:r>
          </w:p>
        </w:tc>
        <w:tc>
          <w:tcPr>
            <w:tcW w:w="975" w:type="dxa"/>
            <w:vMerge w:val="restart"/>
          </w:tcPr>
          <w:p w14:paraId="0779E52B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A595E30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8267C3B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09E547B3" w14:textId="3FDFACF2" w:rsidR="00B97D71" w:rsidRDefault="00B97D71" w:rsidP="00D873C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97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مکالمه 1</w:t>
            </w:r>
          </w:p>
        </w:tc>
        <w:tc>
          <w:tcPr>
            <w:tcW w:w="2972" w:type="dxa"/>
            <w:gridSpan w:val="2"/>
          </w:tcPr>
          <w:p w14:paraId="3BFC47FD" w14:textId="77777777" w:rsidR="00B97D71" w:rsidRPr="005908E6" w:rsidRDefault="00B97D71" w:rsidP="000C5D7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37C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مکالمه 2</w:t>
            </w:r>
          </w:p>
        </w:tc>
        <w:tc>
          <w:tcPr>
            <w:tcW w:w="975" w:type="dxa"/>
            <w:vMerge/>
          </w:tcPr>
          <w:p w14:paraId="58628F76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28D83F8E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5778BF85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2160</w:t>
            </w:r>
          </w:p>
        </w:tc>
        <w:tc>
          <w:tcPr>
            <w:tcW w:w="5205" w:type="dxa"/>
            <w:gridSpan w:val="4"/>
          </w:tcPr>
          <w:p w14:paraId="4E583439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آرام رضا صادقی</w:t>
            </w:r>
          </w:p>
        </w:tc>
      </w:tr>
      <w:tr w:rsidR="00E31D17" w14:paraId="6AB26E00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B0B040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0A73BEB" w14:textId="77777777" w:rsidR="00E31D17" w:rsidRDefault="007463D4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463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7463D4">
              <w:rPr>
                <w:rFonts w:ascii="IranNastaliq" w:hAnsi="IranNastaliq" w:cs="B Mitra"/>
                <w:sz w:val="16"/>
                <w:szCs w:val="16"/>
                <w:lang w:bidi="fa-IR"/>
              </w:rPr>
              <w:t>aramsadeghy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@</w:t>
            </w:r>
            <w:r>
              <w:rPr>
                <w:rFonts w:ascii="IranNastaliq" w:hAnsi="IranNastaliq" w:cs="B Mitra"/>
                <w:sz w:val="16"/>
                <w:szCs w:val="16"/>
                <w:lang w:bidi="fa-IR"/>
              </w:rPr>
              <w:t>semnan.ac.ir</w:t>
            </w:r>
            <w:r w:rsidR="00E31D17" w:rsidRP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14:paraId="6E1691D7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5A32E8B7" w14:textId="71CC46CF" w:rsidR="00BE73D7" w:rsidRPr="00E31D17" w:rsidRDefault="00BE73D7" w:rsidP="00474F7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C17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97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10 و سه شنبه 13</w:t>
            </w:r>
            <w:r w:rsidR="007463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74B84631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2E5CB61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80B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37C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تقویت مهارت های گوش دادن و صحبت کردن</w:t>
            </w:r>
            <w:r w:rsidR="007463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5D1251D2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C69ACA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ویدیو پروژکتور</w:t>
            </w:r>
          </w:p>
        </w:tc>
      </w:tr>
      <w:tr w:rsidR="00C1549F" w14:paraId="1C9A2AA3" w14:textId="77777777" w:rsidTr="007A6B1B">
        <w:trPr>
          <w:trHeight w:val="224"/>
          <w:jc w:val="center"/>
        </w:trPr>
        <w:tc>
          <w:tcPr>
            <w:tcW w:w="1525" w:type="dxa"/>
          </w:tcPr>
          <w:p w14:paraId="22D9D17D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194666FA" w14:textId="77777777" w:rsidR="00C1549F" w:rsidRPr="00C1549F" w:rsidRDefault="00080B14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ارایه و پروژه ها</w:t>
            </w:r>
          </w:p>
        </w:tc>
        <w:tc>
          <w:tcPr>
            <w:tcW w:w="2070" w:type="dxa"/>
            <w:gridSpan w:val="2"/>
          </w:tcPr>
          <w:p w14:paraId="3CE951FF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5DFB80EC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48DBD0C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12EE8DB" w14:textId="77777777" w:rsidTr="007A6B1B">
        <w:trPr>
          <w:trHeight w:val="278"/>
          <w:jc w:val="center"/>
        </w:trPr>
        <w:tc>
          <w:tcPr>
            <w:tcW w:w="1525" w:type="dxa"/>
          </w:tcPr>
          <w:p w14:paraId="1B289DAA" w14:textId="77777777" w:rsidR="007A6B1B" w:rsidRDefault="00080B14" w:rsidP="00D873C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  <w:p w14:paraId="6162684F" w14:textId="43A5ABAB" w:rsidR="00997D32" w:rsidRPr="00FE7024" w:rsidRDefault="00C00F99" w:rsidP="00D873C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12</w:t>
            </w:r>
          </w:p>
        </w:tc>
        <w:tc>
          <w:tcPr>
            <w:tcW w:w="1530" w:type="dxa"/>
          </w:tcPr>
          <w:p w14:paraId="28AB33EF" w14:textId="77777777" w:rsidR="007A6B1B" w:rsidRDefault="00037C3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  <w:p w14:paraId="17488847" w14:textId="4AF42BF8" w:rsidR="00997D32" w:rsidRPr="00FE7024" w:rsidRDefault="00997D3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14:paraId="32C4531E" w14:textId="77777777" w:rsidR="007A6B1B" w:rsidRDefault="00037C3F" w:rsidP="00997D32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  <w:p w14:paraId="54A0BCA5" w14:textId="1AB305E0" w:rsidR="00997D32" w:rsidRPr="00FE7024" w:rsidRDefault="00C00F99" w:rsidP="00997D32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14:paraId="651731AE" w14:textId="77777777" w:rsidR="007A6B1B" w:rsidRDefault="00080B14" w:rsidP="00080B1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  <w:p w14:paraId="3571F044" w14:textId="67C652DB" w:rsidR="00997D32" w:rsidRPr="00FE7024" w:rsidRDefault="00997D32" w:rsidP="00080B1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14:paraId="4DDFE997" w14:textId="77777777" w:rsidR="007A6B1B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  <w:p w14:paraId="6F1B30E0" w14:textId="030812CF" w:rsidR="00997D32" w:rsidRPr="00E13C35" w:rsidRDefault="00997D32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مجازی</w:t>
            </w:r>
          </w:p>
        </w:tc>
      </w:tr>
      <w:tr w:rsidR="00C1549F" w14:paraId="2ACB666E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62916E07" w14:textId="653B896E" w:rsidR="00C1549F" w:rsidRPr="004B094A" w:rsidRDefault="00997D32" w:rsidP="00997D32">
            <w:pP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t xml:space="preserve"> New Insight into IELTS </w:t>
            </w:r>
            <w:proofErr w:type="gramStart"/>
            <w:r>
              <w:t>( All</w:t>
            </w:r>
            <w:proofErr w:type="gramEnd"/>
            <w:r>
              <w:t xml:space="preserve"> the chapters related to Listening and Speaking will be covered in row. The rest of sessions will be on IELTS </w:t>
            </w:r>
            <w:r w:rsidR="00C00F99">
              <w:t xml:space="preserve">example tests.) In the final three sessions, interviews will be held with 6 marks </w:t>
            </w:r>
          </w:p>
        </w:tc>
        <w:tc>
          <w:tcPr>
            <w:tcW w:w="1695" w:type="dxa"/>
            <w:gridSpan w:val="2"/>
          </w:tcPr>
          <w:p w14:paraId="0036F603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5788810B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8254D3F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2A114813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2F601AD3" w14:textId="77777777" w:rsidTr="00891C14">
        <w:trPr>
          <w:trHeight w:val="383"/>
          <w:jc w:val="center"/>
        </w:trPr>
        <w:tc>
          <w:tcPr>
            <w:tcW w:w="1975" w:type="dxa"/>
          </w:tcPr>
          <w:p w14:paraId="7406C0BD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21D0992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6F050A1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59C03FFC" w14:textId="77777777" w:rsidTr="006B3CAE">
        <w:trPr>
          <w:trHeight w:val="152"/>
          <w:jc w:val="center"/>
        </w:trPr>
        <w:tc>
          <w:tcPr>
            <w:tcW w:w="1975" w:type="dxa"/>
          </w:tcPr>
          <w:p w14:paraId="14F1D2D1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315E51" w14:textId="77777777" w:rsidR="00FE7024" w:rsidRPr="00411428" w:rsidRDefault="000333A8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142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Introduction</w:t>
            </w:r>
          </w:p>
        </w:tc>
        <w:tc>
          <w:tcPr>
            <w:tcW w:w="1078" w:type="dxa"/>
          </w:tcPr>
          <w:p w14:paraId="2CFBFA5B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7ECBD81D" w14:textId="77777777" w:rsidTr="00FE7024">
        <w:trPr>
          <w:trHeight w:val="89"/>
          <w:jc w:val="center"/>
        </w:trPr>
        <w:tc>
          <w:tcPr>
            <w:tcW w:w="1975" w:type="dxa"/>
          </w:tcPr>
          <w:p w14:paraId="3F6398F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EFFD37" w14:textId="34A8C516" w:rsidR="006B3CAE" w:rsidRPr="00411428" w:rsidRDefault="00997D3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Speaking</w:t>
            </w:r>
          </w:p>
        </w:tc>
        <w:tc>
          <w:tcPr>
            <w:tcW w:w="1078" w:type="dxa"/>
          </w:tcPr>
          <w:p w14:paraId="13D21DB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00F1888C" w14:textId="77777777" w:rsidTr="00FE7024">
        <w:trPr>
          <w:trHeight w:val="197"/>
          <w:jc w:val="center"/>
        </w:trPr>
        <w:tc>
          <w:tcPr>
            <w:tcW w:w="1975" w:type="dxa"/>
          </w:tcPr>
          <w:p w14:paraId="6D2EC56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58A7DC" w14:textId="7C221551" w:rsidR="006B3CAE" w:rsidRPr="00411428" w:rsidRDefault="00997D32" w:rsidP="00C00F9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Listening</w:t>
            </w:r>
          </w:p>
        </w:tc>
        <w:tc>
          <w:tcPr>
            <w:tcW w:w="1078" w:type="dxa"/>
          </w:tcPr>
          <w:p w14:paraId="022C84D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1CAD2322" w14:textId="77777777" w:rsidTr="00FE7024">
        <w:trPr>
          <w:trHeight w:val="206"/>
          <w:jc w:val="center"/>
        </w:trPr>
        <w:tc>
          <w:tcPr>
            <w:tcW w:w="1975" w:type="dxa"/>
          </w:tcPr>
          <w:p w14:paraId="4D10252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6EF04D" w14:textId="0FB21DFB" w:rsidR="00080B14" w:rsidRPr="00411428" w:rsidRDefault="00997D32" w:rsidP="00080B14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Speaking </w:t>
            </w:r>
          </w:p>
        </w:tc>
        <w:tc>
          <w:tcPr>
            <w:tcW w:w="1078" w:type="dxa"/>
          </w:tcPr>
          <w:p w14:paraId="5E05B99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333A8" w14:paraId="58671CC8" w14:textId="77777777" w:rsidTr="00FE7024">
        <w:trPr>
          <w:trHeight w:val="215"/>
          <w:jc w:val="center"/>
        </w:trPr>
        <w:tc>
          <w:tcPr>
            <w:tcW w:w="1975" w:type="dxa"/>
          </w:tcPr>
          <w:p w14:paraId="392983F4" w14:textId="77777777" w:rsidR="000333A8" w:rsidRPr="00FE7024" w:rsidRDefault="000333A8" w:rsidP="000333A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B7EEC0" w14:textId="2DD3EE1D" w:rsidR="000333A8" w:rsidRPr="00411428" w:rsidRDefault="00997D32" w:rsidP="000333A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Listening</w:t>
            </w:r>
          </w:p>
        </w:tc>
        <w:tc>
          <w:tcPr>
            <w:tcW w:w="1078" w:type="dxa"/>
          </w:tcPr>
          <w:p w14:paraId="134EFDB1" w14:textId="77777777" w:rsidR="000333A8" w:rsidRPr="00E32E53" w:rsidRDefault="000333A8" w:rsidP="000333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333A8" w14:paraId="1DA276A5" w14:textId="77777777" w:rsidTr="00FE7024">
        <w:trPr>
          <w:trHeight w:val="242"/>
          <w:jc w:val="center"/>
        </w:trPr>
        <w:tc>
          <w:tcPr>
            <w:tcW w:w="1975" w:type="dxa"/>
          </w:tcPr>
          <w:p w14:paraId="06C80851" w14:textId="77777777" w:rsidR="000333A8" w:rsidRPr="00FE7024" w:rsidRDefault="000333A8" w:rsidP="000333A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2F3AEDE" w14:textId="77777777" w:rsidR="000333A8" w:rsidRPr="00411428" w:rsidRDefault="00474F75" w:rsidP="000C5D71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</w:p>
        </w:tc>
        <w:tc>
          <w:tcPr>
            <w:tcW w:w="1078" w:type="dxa"/>
          </w:tcPr>
          <w:p w14:paraId="19885145" w14:textId="77777777" w:rsidR="000333A8" w:rsidRPr="00E32E53" w:rsidRDefault="000333A8" w:rsidP="000333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333A8" w14:paraId="1F699BA0" w14:textId="77777777" w:rsidTr="00FE7024">
        <w:trPr>
          <w:trHeight w:val="251"/>
          <w:jc w:val="center"/>
        </w:trPr>
        <w:tc>
          <w:tcPr>
            <w:tcW w:w="1975" w:type="dxa"/>
          </w:tcPr>
          <w:p w14:paraId="7CAE62B7" w14:textId="77777777"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90E1153" w14:textId="77777777"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</w:p>
        </w:tc>
        <w:tc>
          <w:tcPr>
            <w:tcW w:w="1078" w:type="dxa"/>
          </w:tcPr>
          <w:p w14:paraId="3BBB66F5" w14:textId="77777777"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333A8" w14:paraId="2E73B82D" w14:textId="77777777" w:rsidTr="006B3CAE">
        <w:trPr>
          <w:trHeight w:val="197"/>
          <w:jc w:val="center"/>
        </w:trPr>
        <w:tc>
          <w:tcPr>
            <w:tcW w:w="1975" w:type="dxa"/>
          </w:tcPr>
          <w:p w14:paraId="3183FBB4" w14:textId="77777777"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F5BF32C" w14:textId="77777777"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</w:t>
            </w:r>
          </w:p>
        </w:tc>
        <w:tc>
          <w:tcPr>
            <w:tcW w:w="1078" w:type="dxa"/>
          </w:tcPr>
          <w:p w14:paraId="758C9D19" w14:textId="77777777"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333A8" w14:paraId="16FB50F7" w14:textId="77777777" w:rsidTr="006B3CAE">
        <w:trPr>
          <w:trHeight w:val="188"/>
          <w:jc w:val="center"/>
        </w:trPr>
        <w:tc>
          <w:tcPr>
            <w:tcW w:w="1975" w:type="dxa"/>
          </w:tcPr>
          <w:p w14:paraId="286D6600" w14:textId="77777777"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7EEC4B4" w14:textId="77777777"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</w:t>
            </w:r>
          </w:p>
        </w:tc>
        <w:tc>
          <w:tcPr>
            <w:tcW w:w="1078" w:type="dxa"/>
          </w:tcPr>
          <w:p w14:paraId="6DFCD16E" w14:textId="77777777"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333A8" w14:paraId="583553CD" w14:textId="77777777" w:rsidTr="006B3CAE">
        <w:trPr>
          <w:trHeight w:val="206"/>
          <w:jc w:val="center"/>
        </w:trPr>
        <w:tc>
          <w:tcPr>
            <w:tcW w:w="1975" w:type="dxa"/>
          </w:tcPr>
          <w:p w14:paraId="425DCBB4" w14:textId="77777777"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35C862B" w14:textId="77777777"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</w:t>
            </w:r>
          </w:p>
        </w:tc>
        <w:tc>
          <w:tcPr>
            <w:tcW w:w="1078" w:type="dxa"/>
          </w:tcPr>
          <w:p w14:paraId="2F93E7EE" w14:textId="77777777"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333A8" w14:paraId="6B476736" w14:textId="77777777" w:rsidTr="00FE7024">
        <w:trPr>
          <w:trHeight w:val="224"/>
          <w:jc w:val="center"/>
        </w:trPr>
        <w:tc>
          <w:tcPr>
            <w:tcW w:w="1975" w:type="dxa"/>
          </w:tcPr>
          <w:p w14:paraId="10DCBE1C" w14:textId="77777777"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75FB74" w14:textId="77777777"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</w:t>
            </w:r>
          </w:p>
        </w:tc>
        <w:tc>
          <w:tcPr>
            <w:tcW w:w="1078" w:type="dxa"/>
          </w:tcPr>
          <w:p w14:paraId="6C3C95B0" w14:textId="77777777"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333A8" w14:paraId="0D59DD83" w14:textId="77777777" w:rsidTr="00FE7024">
        <w:trPr>
          <w:trHeight w:val="233"/>
          <w:jc w:val="center"/>
        </w:trPr>
        <w:tc>
          <w:tcPr>
            <w:tcW w:w="1975" w:type="dxa"/>
          </w:tcPr>
          <w:p w14:paraId="2D4F8093" w14:textId="77777777"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0447EA" w14:textId="77777777"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</w:t>
            </w:r>
          </w:p>
        </w:tc>
        <w:tc>
          <w:tcPr>
            <w:tcW w:w="1078" w:type="dxa"/>
          </w:tcPr>
          <w:p w14:paraId="6547C4E8" w14:textId="77777777"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333A8" w14:paraId="55133318" w14:textId="77777777" w:rsidTr="00FE7024">
        <w:trPr>
          <w:trHeight w:val="71"/>
          <w:jc w:val="center"/>
        </w:trPr>
        <w:tc>
          <w:tcPr>
            <w:tcW w:w="1975" w:type="dxa"/>
          </w:tcPr>
          <w:p w14:paraId="4B93AD47" w14:textId="77777777"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B6B4997" w14:textId="77777777"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</w:t>
            </w:r>
          </w:p>
        </w:tc>
        <w:tc>
          <w:tcPr>
            <w:tcW w:w="1078" w:type="dxa"/>
          </w:tcPr>
          <w:p w14:paraId="5DF32D06" w14:textId="77777777"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333A8" w14:paraId="61C18330" w14:textId="77777777" w:rsidTr="00FE7024">
        <w:trPr>
          <w:trHeight w:val="269"/>
          <w:jc w:val="center"/>
        </w:trPr>
        <w:tc>
          <w:tcPr>
            <w:tcW w:w="1975" w:type="dxa"/>
          </w:tcPr>
          <w:p w14:paraId="5C9BF97B" w14:textId="77777777"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BED4C0" w14:textId="77777777"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</w:t>
            </w:r>
          </w:p>
        </w:tc>
        <w:tc>
          <w:tcPr>
            <w:tcW w:w="1078" w:type="dxa"/>
          </w:tcPr>
          <w:p w14:paraId="41F4A743" w14:textId="77777777"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333A8" w14:paraId="782F1A36" w14:textId="77777777" w:rsidTr="00FE7024">
        <w:trPr>
          <w:trHeight w:val="197"/>
          <w:jc w:val="center"/>
        </w:trPr>
        <w:tc>
          <w:tcPr>
            <w:tcW w:w="1975" w:type="dxa"/>
          </w:tcPr>
          <w:p w14:paraId="57D2BE13" w14:textId="77777777"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D2BF7C" w14:textId="77777777"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</w:t>
            </w:r>
          </w:p>
        </w:tc>
        <w:tc>
          <w:tcPr>
            <w:tcW w:w="1078" w:type="dxa"/>
          </w:tcPr>
          <w:p w14:paraId="1208D70F" w14:textId="77777777"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333A8" w14:paraId="350FD47C" w14:textId="77777777" w:rsidTr="00FE7024">
        <w:trPr>
          <w:trHeight w:val="206"/>
          <w:jc w:val="center"/>
        </w:trPr>
        <w:tc>
          <w:tcPr>
            <w:tcW w:w="1975" w:type="dxa"/>
          </w:tcPr>
          <w:p w14:paraId="420D798F" w14:textId="77777777"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FD4B2D" w14:textId="77777777"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</w:t>
            </w:r>
          </w:p>
        </w:tc>
        <w:tc>
          <w:tcPr>
            <w:tcW w:w="1078" w:type="dxa"/>
          </w:tcPr>
          <w:p w14:paraId="2539CA3A" w14:textId="77777777"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411428" w14:paraId="537435A1" w14:textId="77777777" w:rsidTr="00FE7024">
        <w:trPr>
          <w:trHeight w:val="206"/>
          <w:jc w:val="center"/>
        </w:trPr>
        <w:tc>
          <w:tcPr>
            <w:tcW w:w="1975" w:type="dxa"/>
          </w:tcPr>
          <w:p w14:paraId="3B57627A" w14:textId="77777777"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269BC76" w14:textId="77777777"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</w:t>
            </w:r>
          </w:p>
        </w:tc>
        <w:tc>
          <w:tcPr>
            <w:tcW w:w="1078" w:type="dxa"/>
          </w:tcPr>
          <w:p w14:paraId="4D6FC20C" w14:textId="77777777"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411428" w14:paraId="4AA7B8DE" w14:textId="77777777" w:rsidTr="00FE7024">
        <w:trPr>
          <w:trHeight w:val="206"/>
          <w:jc w:val="center"/>
        </w:trPr>
        <w:tc>
          <w:tcPr>
            <w:tcW w:w="1975" w:type="dxa"/>
          </w:tcPr>
          <w:p w14:paraId="2C3A3137" w14:textId="77777777"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F7EC8A5" w14:textId="77777777"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9</w:t>
            </w:r>
          </w:p>
        </w:tc>
        <w:tc>
          <w:tcPr>
            <w:tcW w:w="1078" w:type="dxa"/>
          </w:tcPr>
          <w:p w14:paraId="4DE44E96" w14:textId="77777777"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411428" w14:paraId="7BC1C6AD" w14:textId="77777777" w:rsidTr="00FE7024">
        <w:trPr>
          <w:trHeight w:val="206"/>
          <w:jc w:val="center"/>
        </w:trPr>
        <w:tc>
          <w:tcPr>
            <w:tcW w:w="1975" w:type="dxa"/>
          </w:tcPr>
          <w:p w14:paraId="1F6BF777" w14:textId="77777777"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014967" w14:textId="77777777"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9</w:t>
            </w:r>
          </w:p>
        </w:tc>
        <w:tc>
          <w:tcPr>
            <w:tcW w:w="1078" w:type="dxa"/>
          </w:tcPr>
          <w:p w14:paraId="2869BE99" w14:textId="77777777"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411428" w14:paraId="5227C0A9" w14:textId="77777777" w:rsidTr="00FE7024">
        <w:trPr>
          <w:trHeight w:val="206"/>
          <w:jc w:val="center"/>
        </w:trPr>
        <w:tc>
          <w:tcPr>
            <w:tcW w:w="1975" w:type="dxa"/>
          </w:tcPr>
          <w:p w14:paraId="53EFC58B" w14:textId="77777777"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07A5883" w14:textId="77777777"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10</w:t>
            </w:r>
          </w:p>
        </w:tc>
        <w:tc>
          <w:tcPr>
            <w:tcW w:w="1078" w:type="dxa"/>
          </w:tcPr>
          <w:p w14:paraId="60A26C75" w14:textId="77777777"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411428" w14:paraId="36234B8B" w14:textId="77777777" w:rsidTr="00FE7024">
        <w:trPr>
          <w:trHeight w:val="206"/>
          <w:jc w:val="center"/>
        </w:trPr>
        <w:tc>
          <w:tcPr>
            <w:tcW w:w="1975" w:type="dxa"/>
          </w:tcPr>
          <w:p w14:paraId="5A16EC68" w14:textId="77777777"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C7849E4" w14:textId="77777777"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10</w:t>
            </w:r>
          </w:p>
        </w:tc>
        <w:tc>
          <w:tcPr>
            <w:tcW w:w="1078" w:type="dxa"/>
          </w:tcPr>
          <w:p w14:paraId="6DB7902F" w14:textId="77777777"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411428" w14:paraId="54A72061" w14:textId="77777777" w:rsidTr="00FE7024">
        <w:trPr>
          <w:trHeight w:val="206"/>
          <w:jc w:val="center"/>
        </w:trPr>
        <w:tc>
          <w:tcPr>
            <w:tcW w:w="1975" w:type="dxa"/>
          </w:tcPr>
          <w:p w14:paraId="0315DFB4" w14:textId="77777777"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33A573" w14:textId="77777777"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11</w:t>
            </w:r>
          </w:p>
        </w:tc>
        <w:tc>
          <w:tcPr>
            <w:tcW w:w="1078" w:type="dxa"/>
          </w:tcPr>
          <w:p w14:paraId="4D5F1B4C" w14:textId="77777777"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411428" w14:paraId="65B785BC" w14:textId="77777777" w:rsidTr="00FE7024">
        <w:trPr>
          <w:trHeight w:val="206"/>
          <w:jc w:val="center"/>
        </w:trPr>
        <w:tc>
          <w:tcPr>
            <w:tcW w:w="1975" w:type="dxa"/>
          </w:tcPr>
          <w:p w14:paraId="2A92070D" w14:textId="77777777"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254115" w14:textId="77777777"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11</w:t>
            </w:r>
          </w:p>
        </w:tc>
        <w:tc>
          <w:tcPr>
            <w:tcW w:w="1078" w:type="dxa"/>
          </w:tcPr>
          <w:p w14:paraId="133EA7C9" w14:textId="77777777"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411428" w14:paraId="2F1C66F9" w14:textId="77777777" w:rsidTr="00FE7024">
        <w:trPr>
          <w:trHeight w:val="206"/>
          <w:jc w:val="center"/>
        </w:trPr>
        <w:tc>
          <w:tcPr>
            <w:tcW w:w="1975" w:type="dxa"/>
          </w:tcPr>
          <w:p w14:paraId="4C927495" w14:textId="77777777"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8F5890" w14:textId="77777777"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12</w:t>
            </w:r>
          </w:p>
        </w:tc>
        <w:tc>
          <w:tcPr>
            <w:tcW w:w="1078" w:type="dxa"/>
          </w:tcPr>
          <w:p w14:paraId="7B455D62" w14:textId="77777777"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411428" w14:paraId="35B1E756" w14:textId="77777777" w:rsidTr="00FE7024">
        <w:trPr>
          <w:trHeight w:val="206"/>
          <w:jc w:val="center"/>
        </w:trPr>
        <w:tc>
          <w:tcPr>
            <w:tcW w:w="1975" w:type="dxa"/>
          </w:tcPr>
          <w:p w14:paraId="6FA7275C" w14:textId="77777777"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A9DEA81" w14:textId="77777777"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12</w:t>
            </w:r>
          </w:p>
        </w:tc>
        <w:tc>
          <w:tcPr>
            <w:tcW w:w="1078" w:type="dxa"/>
          </w:tcPr>
          <w:p w14:paraId="173A6142" w14:textId="77777777"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411428" w14:paraId="31D16E64" w14:textId="77777777" w:rsidTr="00FE7024">
        <w:trPr>
          <w:trHeight w:val="206"/>
          <w:jc w:val="center"/>
        </w:trPr>
        <w:tc>
          <w:tcPr>
            <w:tcW w:w="1975" w:type="dxa"/>
          </w:tcPr>
          <w:p w14:paraId="0504973A" w14:textId="77777777"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2A3C67" w14:textId="77777777"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Conclusion</w:t>
            </w:r>
          </w:p>
        </w:tc>
        <w:tc>
          <w:tcPr>
            <w:tcW w:w="1078" w:type="dxa"/>
          </w:tcPr>
          <w:p w14:paraId="1B5BF4F7" w14:textId="77777777"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411428" w14:paraId="21E9766F" w14:textId="77777777" w:rsidTr="00FE7024">
        <w:trPr>
          <w:trHeight w:val="206"/>
          <w:jc w:val="center"/>
        </w:trPr>
        <w:tc>
          <w:tcPr>
            <w:tcW w:w="1975" w:type="dxa"/>
          </w:tcPr>
          <w:p w14:paraId="4A84B0D1" w14:textId="77777777"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F802E7F" w14:textId="77777777" w:rsidR="00411428" w:rsidRPr="00411428" w:rsidRDefault="00474F75" w:rsidP="00037C3F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Interview</w:t>
            </w:r>
          </w:p>
        </w:tc>
        <w:tc>
          <w:tcPr>
            <w:tcW w:w="1078" w:type="dxa"/>
          </w:tcPr>
          <w:p w14:paraId="53849F8B" w14:textId="77777777"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27</w:t>
            </w:r>
          </w:p>
        </w:tc>
      </w:tr>
      <w:tr w:rsidR="00411428" w14:paraId="64FCA500" w14:textId="77777777" w:rsidTr="00FE7024">
        <w:trPr>
          <w:trHeight w:val="206"/>
          <w:jc w:val="center"/>
        </w:trPr>
        <w:tc>
          <w:tcPr>
            <w:tcW w:w="1975" w:type="dxa"/>
          </w:tcPr>
          <w:p w14:paraId="1471391F" w14:textId="77777777"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6A927F6" w14:textId="77777777" w:rsidR="00411428" w:rsidRPr="00411428" w:rsidRDefault="00474F75" w:rsidP="00474F75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Interview</w:t>
            </w:r>
          </w:p>
        </w:tc>
        <w:tc>
          <w:tcPr>
            <w:tcW w:w="1078" w:type="dxa"/>
          </w:tcPr>
          <w:p w14:paraId="326EF012" w14:textId="77777777"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</w:p>
        </w:tc>
      </w:tr>
    </w:tbl>
    <w:p w14:paraId="4B52CF42" w14:textId="77777777" w:rsidR="009B3A8F" w:rsidRDefault="009B3A8F" w:rsidP="00474F75">
      <w:pPr>
        <w:rPr>
          <w:rFonts w:ascii="IranNastaliq" w:hAnsi="IranNastaliq" w:cs="IranNastaliq"/>
          <w:rtl/>
          <w:lang w:bidi="fa-IR"/>
        </w:rPr>
      </w:pPr>
    </w:p>
    <w:p w14:paraId="42E60426" w14:textId="77777777" w:rsidR="00474F75" w:rsidRDefault="00474F75" w:rsidP="00474F75">
      <w:p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Scoring system:</w:t>
      </w:r>
    </w:p>
    <w:p w14:paraId="0D39F23C" w14:textId="77777777" w:rsidR="00474F75" w:rsidRDefault="00474F75" w:rsidP="00474F75">
      <w:p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 xml:space="preserve">Class presence and </w:t>
      </w:r>
      <w:proofErr w:type="gramStart"/>
      <w:r>
        <w:rPr>
          <w:rFonts w:ascii="IranNastaliq" w:hAnsi="IranNastaliq" w:cs="IranNastaliq"/>
          <w:lang w:bidi="fa-IR"/>
        </w:rPr>
        <w:t>participation  4</w:t>
      </w:r>
      <w:proofErr w:type="gramEnd"/>
      <w:r>
        <w:rPr>
          <w:rFonts w:ascii="IranNastaliq" w:hAnsi="IranNastaliq" w:cs="IranNastaliq"/>
          <w:lang w:bidi="fa-IR"/>
        </w:rPr>
        <w:t xml:space="preserve"> marks</w:t>
      </w:r>
    </w:p>
    <w:p w14:paraId="030EA5C4" w14:textId="77777777" w:rsidR="00474F75" w:rsidRDefault="00474F75" w:rsidP="00474F75">
      <w:p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Lecture 4</w:t>
      </w:r>
    </w:p>
    <w:p w14:paraId="63FA0BFE" w14:textId="77777777" w:rsidR="00474F75" w:rsidRDefault="00474F75" w:rsidP="00474F75">
      <w:p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Final interview 6</w:t>
      </w:r>
    </w:p>
    <w:p w14:paraId="0AAB0D89" w14:textId="77777777" w:rsidR="00474F75" w:rsidRDefault="00474F75" w:rsidP="00474F75">
      <w:p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Final exam 6</w:t>
      </w:r>
    </w:p>
    <w:p w14:paraId="5F32E75B" w14:textId="77777777" w:rsidR="00474F75" w:rsidRPr="009B3A8F" w:rsidRDefault="00474F75" w:rsidP="00474F75">
      <w:pPr>
        <w:rPr>
          <w:rFonts w:ascii="IranNastaliq" w:hAnsi="IranNastaliq" w:cs="IranNastaliq"/>
          <w:lang w:bidi="fa-IR"/>
        </w:rPr>
      </w:pPr>
    </w:p>
    <w:sectPr w:rsidR="00474F75" w:rsidRPr="009B3A8F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CBFA" w14:textId="77777777" w:rsidR="00B34F99" w:rsidRDefault="00B34F99" w:rsidP="0007479E">
      <w:pPr>
        <w:spacing w:after="0" w:line="240" w:lineRule="auto"/>
      </w:pPr>
      <w:r>
        <w:separator/>
      </w:r>
    </w:p>
  </w:endnote>
  <w:endnote w:type="continuationSeparator" w:id="0">
    <w:p w14:paraId="1FB02D47" w14:textId="77777777" w:rsidR="00B34F99" w:rsidRDefault="00B34F9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111A" w14:textId="77777777" w:rsidR="00B34F99" w:rsidRDefault="00B34F99" w:rsidP="0007479E">
      <w:pPr>
        <w:spacing w:after="0" w:line="240" w:lineRule="auto"/>
      </w:pPr>
      <w:r>
        <w:separator/>
      </w:r>
    </w:p>
  </w:footnote>
  <w:footnote w:type="continuationSeparator" w:id="0">
    <w:p w14:paraId="3C6EB735" w14:textId="77777777" w:rsidR="00B34F99" w:rsidRDefault="00B34F99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125"/>
    <w:multiLevelType w:val="hybridMultilevel"/>
    <w:tmpl w:val="1C44E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9445E"/>
    <w:multiLevelType w:val="hybridMultilevel"/>
    <w:tmpl w:val="4C061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43989">
    <w:abstractNumId w:val="0"/>
  </w:num>
  <w:num w:numId="2" w16cid:durableId="73223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333A8"/>
    <w:rsid w:val="00037C3F"/>
    <w:rsid w:val="00043444"/>
    <w:rsid w:val="00047D53"/>
    <w:rsid w:val="000509BD"/>
    <w:rsid w:val="0007479E"/>
    <w:rsid w:val="00080B14"/>
    <w:rsid w:val="000C5D71"/>
    <w:rsid w:val="001A24D7"/>
    <w:rsid w:val="0023366D"/>
    <w:rsid w:val="00255297"/>
    <w:rsid w:val="00321206"/>
    <w:rsid w:val="003C3D02"/>
    <w:rsid w:val="003D23C3"/>
    <w:rsid w:val="00411428"/>
    <w:rsid w:val="00474F75"/>
    <w:rsid w:val="004B094A"/>
    <w:rsid w:val="004B238D"/>
    <w:rsid w:val="004C0E17"/>
    <w:rsid w:val="004E3745"/>
    <w:rsid w:val="0051478F"/>
    <w:rsid w:val="005533E8"/>
    <w:rsid w:val="005908E6"/>
    <w:rsid w:val="005B71F9"/>
    <w:rsid w:val="00602F63"/>
    <w:rsid w:val="006261B7"/>
    <w:rsid w:val="00672316"/>
    <w:rsid w:val="006B0268"/>
    <w:rsid w:val="006B3CAE"/>
    <w:rsid w:val="007367C0"/>
    <w:rsid w:val="00743C43"/>
    <w:rsid w:val="007463D4"/>
    <w:rsid w:val="007A6B1B"/>
    <w:rsid w:val="007C1761"/>
    <w:rsid w:val="00857ED7"/>
    <w:rsid w:val="00891C14"/>
    <w:rsid w:val="008D2DEA"/>
    <w:rsid w:val="00943F79"/>
    <w:rsid w:val="00997D32"/>
    <w:rsid w:val="009B3A8F"/>
    <w:rsid w:val="00B34F99"/>
    <w:rsid w:val="00B563E5"/>
    <w:rsid w:val="00B61EC5"/>
    <w:rsid w:val="00B97D71"/>
    <w:rsid w:val="00BE73D7"/>
    <w:rsid w:val="00C00F99"/>
    <w:rsid w:val="00C1549F"/>
    <w:rsid w:val="00C84F12"/>
    <w:rsid w:val="00D873C8"/>
    <w:rsid w:val="00DE259A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1C614"/>
  <w15:docId w15:val="{E94EEC8F-A100-4E6E-946E-D2693985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B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AMOZESH</dc:creator>
  <cp:lastModifiedBy>HA</cp:lastModifiedBy>
  <cp:revision>3</cp:revision>
  <cp:lastPrinted>2018-12-27T12:18:00Z</cp:lastPrinted>
  <dcterms:created xsi:type="dcterms:W3CDTF">2024-09-22T12:10:00Z</dcterms:created>
  <dcterms:modified xsi:type="dcterms:W3CDTF">2026-04-16T08:15:00Z</dcterms:modified>
</cp:coreProperties>
</file>